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В середине XIX века русские былины начали </w:t>
      </w:r>
      <w:proofErr w:type="gramStart"/>
      <w:r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публиковать </w:t>
      </w: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 и</w:t>
      </w:r>
      <w:proofErr w:type="gram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 исследовать. Художественная среда живо отреагировала на этот процесс, и молодые художники стали осваивать богатырскую героику наряду с другими фольклорными сюжетами.</w:t>
      </w:r>
    </w:p>
    <w:p w:rsidR="001B1F7C" w:rsidRPr="001B1F7C" w:rsidRDefault="001B1F7C" w:rsidP="001B1F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F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AF7F53" wp14:editId="0C14000F">
            <wp:extent cx="1232987" cy="1733550"/>
            <wp:effectExtent l="0" t="0" r="5715" b="0"/>
            <wp:docPr id="37" name="Рисунок 37" descr="https://cdn-s-static.arzamas.academy/uploads/ckeditor/pictures/2166/content_sad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cdn-s-static.arzamas.academy/uploads/ckeditor/pictures/2166/content_sadk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322" cy="174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Садко. Картина Ильи Репина. 1876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4"/>
          <w:szCs w:val="24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4"/>
          <w:szCs w:val="24"/>
          <w:lang w:eastAsia="ru-RU"/>
        </w:rPr>
        <w:t>Google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4"/>
          <w:szCs w:val="24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4"/>
          <w:szCs w:val="24"/>
          <w:lang w:eastAsia="ru-RU"/>
        </w:rPr>
        <w:t>Cultural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4"/>
          <w:szCs w:val="24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4"/>
          <w:szCs w:val="24"/>
          <w:lang w:eastAsia="ru-RU"/>
        </w:rPr>
        <w:t>Institute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Богатырская эстафета началась в Париже. В 1874 году Илья Репин побывал на первой крупной выставке импрессионистов </w:t>
      </w:r>
      <w:proofErr w:type="gram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в мастерской фотографа</w:t>
      </w:r>
      <w:proofErr w:type="gram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Надара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. Воспитанный передвижниками, художник негодовал: приятная форма вкупе с полным отсутствием смысла. А незадолго до этого Репин задумал картину на сюжет былины о Садко. 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«Сообщаю Вам, под глубочайшим секретом, тему будущей моей картины: Садко — богатый гость на дне морском; водяной царь показывает ему невест. Картина самая фантастичная, от архитектуры до растений и свиты царя».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6"/>
          <w:szCs w:val="26"/>
          <w:lang w:eastAsia="ru-RU"/>
        </w:rPr>
        <w:t>Илья Репин.</w:t>
      </w:r>
      <w:r w:rsidRPr="001B1F7C">
        <w:rPr>
          <w:rFonts w:ascii="Times New Roman" w:eastAsia="Times New Roman" w:hAnsi="Times New Roman" w:cs="Times New Roman"/>
          <w:i/>
          <w:iCs/>
          <w:color w:val="4C4C4C"/>
          <w:sz w:val="26"/>
          <w:szCs w:val="26"/>
          <w:lang w:eastAsia="ru-RU"/>
        </w:rPr>
        <w:t> Из письма музыкальному и художественному критику Владимиру Стасову, 23 декабря 1873 года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Репин несколько раз приглашал к себе в Париж Виктора Васнецова. В 1876 году тот наконец приехал, и Репин написал купца </w:t>
      </w:r>
      <w:proofErr w:type="gram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Садко</w:t>
      </w:r>
      <w:proofErr w:type="gram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с него, богато украсив картину морской флорой и фауной, которую тщательно изучал в Нормандии и Берлинском аквариуме. По технике вышел совершенный импрессионизм, но идея Репина была глубоко патриотичной. Как </w:t>
      </w:r>
      <w:proofErr w:type="gram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Садко</w:t>
      </w:r>
      <w:proofErr w:type="gram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предпочитает самым экзотичным невестам неприметную русскую девицу Чернаву в глубине картины, так и он, золотой медалист Академии художеств, отправленный на шесть лет за границу на полном пансионе, сохраняет верность родной культуре.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В том же году Репин безуспешно выставил «Садко» </w:t>
      </w:r>
      <w:r w:rsidRPr="001B1F7C">
        <w:rPr>
          <w:rFonts w:ascii="Times New Roman" w:eastAsia="Times New Roman" w:hAnsi="Times New Roman" w:cs="Times New Roman"/>
          <w:sz w:val="26"/>
          <w:szCs w:val="26"/>
          <w:lang w:eastAsia="ru-RU"/>
        </w:rPr>
        <w:t>в </w:t>
      </w:r>
      <w:hyperlink r:id="rId5" w:tgtFrame="_blank" w:history="1">
        <w:r w:rsidRPr="001B1F7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Парижском салоне</w:t>
        </w:r>
      </w:hyperlink>
      <w:r w:rsidRPr="001B1F7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B1F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Но соотечественники работу оценили. Картину купил будущий император Александр III, а художнику присвоили звание академика.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В эти дни в своей парижской мастерской Василий Поленов обсуждал с Васнецовым картину Репина. Учитель Репина Павел Чистяков прислал Поленову письмо, в котором просил передать ученику, что тот слишком сосредоточился на красоте подводного царства и совсем забыл о духе былины, который и должен задавать картине тон. Тогда же в мастерской Поленова Васнецов вспомнил об одном старом наброске и на скорую руку сделал первый красочный эскиз «Богатырей». Правда, серьезно писать картину Васнецов начнет только в 1881-м, а закончит уже в 1898-м.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lastRenderedPageBreak/>
        <w:drawing>
          <wp:inline distT="0" distB="0" distL="0" distR="0" wp14:anchorId="1D28B31A" wp14:editId="6252381E">
            <wp:extent cx="1697355" cy="1371600"/>
            <wp:effectExtent l="0" t="0" r="0" b="0"/>
            <wp:docPr id="39" name="Рисунок 39" descr="https://cdn-s-static.arzamas.academy/storage/picture/1047/gallery_picture-bac42c48-1165-45e9-8081-cc301df787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cdn-s-static.arzamas.academy/storage/picture/1047/gallery_picture-bac42c48-1165-45e9-8081-cc301df787d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007" cy="137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131E874C" wp14:editId="15393725">
            <wp:extent cx="1102995" cy="1404343"/>
            <wp:effectExtent l="0" t="0" r="1905" b="5715"/>
            <wp:docPr id="40" name="Рисунок 40" descr="https://cdn-s-static.arzamas.academy/storage/picture/1049/gallery_picture-7d858347-acf1-4bab-9873-572d614efb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cdn-s-static.arzamas.academy/storage/picture/1049/gallery_picture-7d858347-acf1-4bab-9873-572d614efbe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692" cy="1417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317C1C15" wp14:editId="014E27CD">
            <wp:extent cx="1739552" cy="962025"/>
            <wp:effectExtent l="0" t="0" r="0" b="0"/>
            <wp:docPr id="38" name="Рисунок 38" descr="https://cdn-s-static.arzamas.academy/storage/picture/1048/gallery_picture-2fd452d3-d5c0-489f-bd65-13e3c2387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cdn-s-static.arzamas.academy/storage/picture/1048/gallery_picture-2fd452d3-d5c0-489f-bd65-13e3c23872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44191" cy="964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1 / 3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Витязь на распутье. Картина Виктора Васнецова. 1882 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2 / 3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Черновые наброски к картине «Витязь на распутье» Виктора Васнецова. 70-е годы XIX века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3 / 3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Иллюстрация Ивана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Билибина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 к «Сказке об Иване-царевиче, Жар-птице и о Сером Волке». 1899 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 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Параллельно — с начала 1870-х — Васнецов работает над другим былинным сюжетом, вдохновленный прочтением былины «Илья Муромец и разбойники». Несколько лет подряд «Витязь на распутье» не идет дальше черновых набросков, где Васнецов пытается проработать лицо богатыря. Только в 1877 году художник пишет этюд «Воин в шлеме с 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кольчужкой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» со своего брата Аркадия и тогда же завершает первую версию картины. В следующем году она появляется на VI передвижной выставке, затем Васнецов переписывает ее еще раз в 1879 году. Третья, окончательная версия «Витязя» появляется только в 1882-м, Васнецов пишет ее для мецената Саввы Мамонтова.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Илья Муромец в «Витязе» ― почти байронический герой. Настрой Васнецова можно проследить по тому, как меняется ракурс от первых набросков к финальной версии. В эскизах богатырь повернут к зрителю в три четверти, но с каждой версией отворачивается от него все сильнее, и в итоге мы видим только кончик носа и клочок бороды героя. «Витязь» 1882 года </w:t>
      </w:r>
      <w:r w:rsidRPr="001B1F7C">
        <w:rPr>
          <w:rFonts w:ascii="Times New Roman" w:eastAsia="Times New Roman" w:hAnsi="Times New Roman" w:cs="Times New Roman"/>
          <w:sz w:val="26"/>
          <w:szCs w:val="26"/>
          <w:lang w:eastAsia="ru-RU"/>
        </w:rPr>
        <w:t>удивительно (и, скорее всего, неслучайно) напоминает картины немецкого романтика </w:t>
      </w:r>
      <w:proofErr w:type="spellStart"/>
      <w:r w:rsidRPr="001B1F7C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Pr="001B1F7C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HYPERLINK "https://arzamas.academy/episodes/70" \t "_blank" </w:instrText>
      </w:r>
      <w:r w:rsidRPr="001B1F7C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r w:rsidRPr="001B1F7C">
        <w:rPr>
          <w:rFonts w:ascii="Times New Roman" w:eastAsia="Times New Roman" w:hAnsi="Times New Roman" w:cs="Times New Roman"/>
          <w:sz w:val="26"/>
          <w:szCs w:val="26"/>
          <w:lang w:eastAsia="ru-RU"/>
        </w:rPr>
        <w:t>Каспара</w:t>
      </w:r>
      <w:proofErr w:type="spellEnd"/>
      <w:r w:rsidRPr="001B1F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Давида Фридриха</w:t>
      </w:r>
      <w:r w:rsidRPr="001B1F7C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end"/>
      </w:r>
      <w:r w:rsidRPr="001B1F7C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который изображал своих героев спиной к зрителю и лицом к стихии, будь то бушующее море, лес или закатное небо. А перед Ильей Муромцем ― роковой камень. И даже распутья в буквальном смысле нет, только поросшее бурьяном поле и голые кости. В лучших традициях </w:t>
      </w:r>
      <w:hyperlink r:id="rId9" w:tgtFrame="_blank" w:history="1">
        <w:r w:rsidRPr="001B1F7C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романтизма</w:t>
        </w:r>
      </w:hyperlink>
      <w:r w:rsidRPr="001B1F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Надпись </w:t>
      </w: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на камне взята Васнецовым из текста былины. 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«На камне написано: „Как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пряму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ехати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 — живу не 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бывати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: нет пути ни прохожему, ни проезжему, ни пролетному“. Следуемые далее надписи: „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Направу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ехати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 —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женату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быти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;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налеву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ехати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 —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богату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быти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“ — на камне не видны, я их спрятал под мох и стер частью. Надписи эти отысканы мною в публичной библиотеке при Вашем любезном содействии».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6"/>
          <w:szCs w:val="26"/>
          <w:lang w:eastAsia="ru-RU"/>
        </w:rPr>
        <w:t>Виктор Васнецов.</w:t>
      </w:r>
      <w:r w:rsidRPr="001B1F7C">
        <w:rPr>
          <w:rFonts w:ascii="Times New Roman" w:eastAsia="Times New Roman" w:hAnsi="Times New Roman" w:cs="Times New Roman"/>
          <w:i/>
          <w:iCs/>
          <w:color w:val="4C4C4C"/>
          <w:sz w:val="26"/>
          <w:szCs w:val="26"/>
          <w:lang w:eastAsia="ru-RU"/>
        </w:rPr>
        <w:t> Из письма музыкальному и художественному критику Владимиру Стасову, 11 мая 1898 года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Конечно, символическое лишение витязя возможности жениться и разбогатеть ― еще один романтический симптом. Никакого распутья для русского богатыря нет: только вперед, на бой со смертью.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proofErr w:type="spellStart"/>
      <w:r w:rsidRPr="001B1F7C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Previous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lastRenderedPageBreak/>
        <w:drawing>
          <wp:inline distT="0" distB="0" distL="0" distR="0" wp14:anchorId="69218185" wp14:editId="69F8F4ED">
            <wp:extent cx="1709233" cy="1123950"/>
            <wp:effectExtent l="0" t="0" r="5715" b="0"/>
            <wp:docPr id="41" name="Рисунок 41" descr="https://cdn-s-static.arzamas.academy/storage/picture/1062/gallery_picture-a25ef0b0-a377-48a9-9338-1b7f02dad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cdn-s-static.arzamas.academy/storage/picture/1062/gallery_picture-a25ef0b0-a377-48a9-9338-1b7f02dad0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89" cy="1128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65DAF842" wp14:editId="1C72E8A0">
            <wp:extent cx="905430" cy="1162050"/>
            <wp:effectExtent l="0" t="0" r="9525" b="0"/>
            <wp:docPr id="42" name="Рисунок 42" descr="https://cdn-s-static.arzamas.academy/storage/picture/1063/gallery_picture-30a7f608-060f-410d-9348-c5f593a991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cdn-s-static.arzamas.academy/storage/picture/1063/gallery_picture-30a7f608-060f-410d-9348-c5f593a9916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759" cy="117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val="en-US"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Богатыри. Картина Виктора Васнецова. </w:t>
      </w: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val="en-US" w:eastAsia="ru-RU"/>
        </w:rPr>
        <w:t xml:space="preserve">1881–1898 </w:t>
      </w: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годы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val="en-US"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val="en-US" w:eastAsia="ru-RU"/>
        </w:rPr>
        <w:t>Tretyakov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val="en-US" w:eastAsia="ru-RU"/>
        </w:rPr>
        <w:t xml:space="preserve"> Gallery / Bridgeman Images /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val="en-US" w:eastAsia="ru-RU"/>
        </w:rPr>
        <w:t>Fotodom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2 / 2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Крестьянин Иван Петров. Этюд Виктора Васнецова для картины «Богатыри». 1883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Foundation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В «Богатырях» Васнецова Илья Муромец остается центральной фигурой, но не имеет почти ничего общего с печальным витязем у камня. Романтическая тоска тут остается разве что в пасмурном небе, сулящем трем богатырям опасные испытания. Сам же Илья Муромец становится воплощением жизненной силы и физической мощи и явно превосходит в этом и хмурого Добрыню Никитича по правую руку, и лукавого Алешу Поповича по левую. Неслучайно лицо Ильи Муромца Васнецов пишет с простого владимирского крестьянина Ивана Петрова. Однако похожий, витальный и приземистый воин появляется у Васнецова и задолго до «Богатырей», в акварельном эскизе «Витязь на коне» 1878 года.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В 1914 году Васнецов пишет Илью Муромца еще раз — и опять по-новому. Динамичный, напоминающий агитационный плакат «Богатырский скок» представляет богатыря не мощной живой глыбой, а ловким бравым воином, рвущимся в бой. Учитывая, когда написана картина, такая разительная перемена в образе легко объяснима.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Одновременно с «Богатырями» свою версию образа Ильи Муромца представляет Михаил Врубель. На контрасте с его приземистым, будто сделанным из камня и глины «мужичищем-деревенщиной» витязи Васнецова выглядят до предела реалистичными. Из картин же самого Врубеля «Богатырь» больше всего напоминает написанного в следующем году «Пана»: Илья Муромец такой же лесной, сказочный, курчавый, и даже цветовая гамма обеих картин создает впечатление, будто они принадлежат к одной серии работ, хотя это не так. При этом гиперболизация физической силы богатыря стала скорее недостатком картины Врубеля в глазах критиков: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«Лошадь у него больше в ширину, чем в длину».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6"/>
          <w:szCs w:val="26"/>
          <w:lang w:eastAsia="ru-RU"/>
        </w:rPr>
        <w:t xml:space="preserve">Екатерина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6"/>
          <w:szCs w:val="26"/>
          <w:lang w:eastAsia="ru-RU"/>
        </w:rPr>
        <w:t>Ге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4C4C4C"/>
          <w:sz w:val="26"/>
          <w:szCs w:val="26"/>
          <w:lang w:eastAsia="ru-RU"/>
        </w:rPr>
        <w:t> о картине «Богатырь» Михаила Врубеля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proofErr w:type="spellStart"/>
      <w:r w:rsidRPr="001B1F7C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Previous</w:t>
      </w:r>
      <w:bookmarkStart w:id="0" w:name="_GoBack"/>
      <w:bookmarkEnd w:id="0"/>
      <w:proofErr w:type="spellEnd"/>
    </w:p>
    <w:p w:rsid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6F87D3D9" wp14:editId="6A097CE9">
            <wp:extent cx="876935" cy="1319526"/>
            <wp:effectExtent l="0" t="0" r="0" b="0"/>
            <wp:docPr id="44" name="Рисунок 44" descr="https://cdn-s-static.arzamas.academy/storage/picture/1027/gallery_picture-75d60f2b-cb4d-4cf4-9162-f0f8b2fc1c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cdn-s-static.arzamas.academy/storage/picture/1027/gallery_picture-75d60f2b-cb4d-4cf4-9162-f0f8b2fc1c7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456" cy="1329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0E191B1F" wp14:editId="74323539">
            <wp:extent cx="1072238" cy="1333353"/>
            <wp:effectExtent l="0" t="0" r="0" b="635"/>
            <wp:docPr id="45" name="Рисунок 45" descr="https://cdn-s-static.arzamas.academy/storage/picture/1028/gallery_picture-4f825b03-bf89-465f-8dc2-b259dbc6c0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cdn-s-static.arzamas.academy/storage/picture/1028/gallery_picture-4f825b03-bf89-465f-8dc2-b259dbc6c0a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7" cy="134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38A8CE88" wp14:editId="3F080D59">
            <wp:extent cx="1727200" cy="1295400"/>
            <wp:effectExtent l="0" t="0" r="6350" b="0"/>
            <wp:docPr id="43" name="Рисунок 43" descr="https://cdn-s-static.arzamas.academy/storage/picture/1026/gallery_picture-d031151f-2261-4604-8986-e0b468f0f1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cdn-s-static.arzamas.academy/storage/picture/1026/gallery_picture-d031151f-2261-4604-8986-e0b468f0f13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88" cy="1296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val="en-US"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Богатырский скок. Картина Виктора Васнецова. </w:t>
      </w: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val="en-US" w:eastAsia="ru-RU"/>
        </w:rPr>
        <w:t xml:space="preserve">1914 </w:t>
      </w: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val="en-US" w:eastAsia="ru-RU"/>
        </w:rPr>
        <w:t xml:space="preserve">© 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с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val="en-US" w:eastAsia="ru-RU"/>
        </w:rPr>
        <w:t>lassical-painting.ru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val="en-US" w:eastAsia="ru-RU"/>
        </w:rPr>
      </w:pPr>
      <w:proofErr w:type="gramStart"/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val="en-US" w:eastAsia="ru-RU"/>
        </w:rPr>
        <w:t>2</w:t>
      </w:r>
      <w:proofErr w:type="gramEnd"/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val="en-US" w:eastAsia="ru-RU"/>
        </w:rPr>
        <w:t xml:space="preserve"> / 3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val="en-US"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lastRenderedPageBreak/>
        <w:t>Богатырь</w:t>
      </w: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val="en-US" w:eastAsia="ru-RU"/>
        </w:rPr>
        <w:t xml:space="preserve">. </w:t>
      </w: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Картина</w:t>
      </w: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val="en-US" w:eastAsia="ru-RU"/>
        </w:rPr>
        <w:t xml:space="preserve"> </w:t>
      </w: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Михаила</w:t>
      </w: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val="en-US" w:eastAsia="ru-RU"/>
        </w:rPr>
        <w:t xml:space="preserve"> </w:t>
      </w: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Врубеля</w:t>
      </w: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val="en-US" w:eastAsia="ru-RU"/>
        </w:rPr>
        <w:t xml:space="preserve">. 1898 </w:t>
      </w: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val="en-US" w:eastAsia="ru-RU"/>
        </w:rPr>
        <w:t xml:space="preserve">© Fine Art Images / Heritage Images / Getty Images /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val="en-US" w:eastAsia="ru-RU"/>
        </w:rPr>
        <w:t>Fotobank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3 / 3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Пан. Картина Михаила Врубеля. 1899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В то же время сам Врубель совсем был не намерен смеяться над Ильей Муромцем: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«Сейчас я опять в Абрамцеве, и опять меня обдает, нет, не обдает, а слышится мне та интимная национальная нотка, которую мне так хочется поймать на холсте и в орнаменте. Это музыка цельного человека, не расчлененного отвлечениями упорядоченного, дифференцированного и бледного Запада».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6"/>
          <w:szCs w:val="26"/>
          <w:lang w:eastAsia="ru-RU"/>
        </w:rPr>
        <w:t>Михаил Врубель. </w:t>
      </w:r>
      <w:r w:rsidRPr="001B1F7C">
        <w:rPr>
          <w:rFonts w:ascii="Times New Roman" w:eastAsia="Times New Roman" w:hAnsi="Times New Roman" w:cs="Times New Roman"/>
          <w:i/>
          <w:iCs/>
          <w:color w:val="4C4C4C"/>
          <w:sz w:val="26"/>
          <w:szCs w:val="26"/>
          <w:lang w:eastAsia="ru-RU"/>
        </w:rPr>
        <w:t>Из письма сестре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7F8520AC" wp14:editId="76D9272F">
            <wp:extent cx="1657350" cy="2203679"/>
            <wp:effectExtent l="0" t="0" r="0" b="6350"/>
            <wp:docPr id="46" name="Рисунок 46" descr="https://cdn-s-static.arzamas.academy/storage/picture/1036/gallery_picture-5974bc34-7bd3-403a-8948-af1311091d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cdn-s-static.arzamas.academy/storage/picture/1036/gallery_picture-5974bc34-7bd3-403a-8948-af1311091ddb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446" cy="2214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6A02FD02" wp14:editId="0FB1206D">
            <wp:extent cx="1714500" cy="2279668"/>
            <wp:effectExtent l="0" t="0" r="0" b="6350"/>
            <wp:docPr id="47" name="Рисунок 47" descr="https://cdn-s-static.arzamas.academy/storage/picture/1029/gallery_picture-6bd167f5-85a8-474c-ad84-2579fdb463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cdn-s-static.arzamas.academy/storage/picture/1029/gallery_picture-6bd167f5-85a8-474c-ad84-2579fdb46378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181" cy="228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7F614F0D" wp14:editId="5322A51A">
            <wp:extent cx="1695450" cy="2292439"/>
            <wp:effectExtent l="0" t="0" r="0" b="0"/>
            <wp:docPr id="48" name="Рисунок 48" descr="https://cdn-s-static.arzamas.academy/storage/picture/1030/gallery_picture-a86597e8-05a8-4f32-b1d2-fc33043472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cdn-s-static.arzamas.academy/storage/picture/1030/gallery_picture-a86597e8-05a8-4f32-b1d2-fc33043472f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573" cy="2302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1D1326BD" wp14:editId="581547C4">
            <wp:extent cx="1017231" cy="1352550"/>
            <wp:effectExtent l="0" t="0" r="0" b="0"/>
            <wp:docPr id="50" name="Рисунок 50" descr="https://cdn-s-static.arzamas.academy/storage/picture/1033/gallery_picture-68e69b42-41a3-48cd-ace5-48e8f5acba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cdn-s-static.arzamas.academy/storage/picture/1033/gallery_picture-68e69b42-41a3-48cd-ace5-48e8f5acba2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611" cy="1365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1C112D6F" wp14:editId="5A08BC83">
            <wp:extent cx="1021556" cy="1362075"/>
            <wp:effectExtent l="0" t="0" r="7620" b="0"/>
            <wp:docPr id="49" name="Рисунок 49" descr="https://cdn-s-static.arzamas.academy/storage/picture/1031/gallery_picture-5be2f646-91ef-4947-8da6-ff33dc284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cdn-s-static.arzamas.academy/storage/picture/1031/gallery_picture-5be2f646-91ef-4947-8da6-ff33dc28427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625" cy="1368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353428D2" wp14:editId="2D0EC646">
            <wp:extent cx="1000125" cy="1315233"/>
            <wp:effectExtent l="0" t="0" r="0" b="0"/>
            <wp:docPr id="51" name="Рисунок 51" descr="https://cdn-s-static.arzamas.academy/storage/picture/1037/gallery_picture-4d899e0a-8783-48f3-8635-88404553d8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cdn-s-static.arzamas.academy/storage/picture/1037/gallery_picture-4d899e0a-8783-48f3-8635-88404553d8dc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240" cy="133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3D154083" wp14:editId="7358B9DA">
            <wp:extent cx="1028700" cy="1364022"/>
            <wp:effectExtent l="0" t="0" r="0" b="7620"/>
            <wp:docPr id="52" name="Рисунок 52" descr="https://cdn-s-static.arzamas.academy/storage/picture/1035/gallery_picture-2e8ae01d-4d16-409a-bcac-af235ab1cd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cdn-s-static.arzamas.academy/storage/picture/1035/gallery_picture-2e8ae01d-4d16-409a-bcac-af235ab1cd8f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870" cy="137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28933FB2" wp14:editId="33FF5CC4">
            <wp:extent cx="952262" cy="1266166"/>
            <wp:effectExtent l="0" t="0" r="635" b="0"/>
            <wp:docPr id="53" name="Рисунок 53" descr="https://cdn-s-static.arzamas.academy/storage/picture/1034/gallery_picture-3a2abcbf-57f8-45ac-a39a-5fa5b3e26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cdn-s-static.arzamas.academy/storage/picture/1034/gallery_picture-3a2abcbf-57f8-45ac-a39a-5fa5b3e2682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816" cy="1280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353CD0A6" wp14:editId="791D5348">
            <wp:extent cx="994568" cy="1333500"/>
            <wp:effectExtent l="0" t="0" r="0" b="0"/>
            <wp:docPr id="54" name="Рисунок 54" descr="https://cdn-s-static.arzamas.academy/storage/picture/1032/gallery_picture-a03f7b55-328a-4441-93e6-2eeb31abeb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cdn-s-static.arzamas.academy/storage/picture/1032/gallery_picture-a03f7b55-328a-4441-93e6-2eeb31abeb9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576" cy="134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7856445E">
            <wp:extent cx="923925" cy="1234864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640" cy="12371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>
        <w:rPr>
          <w:rFonts w:ascii="Arial" w:eastAsia="Times New Roman" w:hAnsi="Arial" w:cs="Arial"/>
          <w:color w:val="4C4C4C"/>
          <w:sz w:val="23"/>
          <w:szCs w:val="23"/>
          <w:lang w:eastAsia="ru-RU"/>
        </w:rPr>
        <w:t xml:space="preserve"> 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1 / 10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Чурило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Плёнкович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. Иллюстрация Андрея Рябушкина. 1895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2 / 10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Святогор. Иллюстрация Андрея Рябушкина. 1895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3 / 10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Василий Буслаев. Иллюстрация Андрея Рябушкина. 1895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4 / 10</w:t>
      </w:r>
    </w:p>
    <w:p w:rsidR="001B1F7C" w:rsidRPr="001B1F7C" w:rsidRDefault="001B1F7C" w:rsidP="001B1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Добрыня Никитич. Иллюстрация Андрея Рябушкина. 1895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5 / 10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Владимир Красное Солнышко и его жена Апраксия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Королевична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. Иллюстрация Андрея Рябушкина. 1895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6 / 10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Илья Муромец. Иллюстрация Андрея Рябушкина. 1895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lastRenderedPageBreak/>
        <w:t>7 / 10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Садко, богатый новгородский гость. Иллюстрация Андрея Рябушкина. 1895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8 / 10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Алеша Попович. Иллюстрация Андрея Рябушкина. 1895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9 / 10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Микула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Селянинович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. Иллюстрация Андрея Рябушкина. 1895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10 / 10</w:t>
      </w:r>
    </w:p>
    <w:p w:rsidR="001B1F7C" w:rsidRPr="001B1F7C" w:rsidRDefault="001B1F7C" w:rsidP="001B1F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Вольга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Всеславьевич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. Иллюстрация Андрея Рябушкина. 1895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Подобно Врубелю, оригинальный взгляд на русский эпос предложил Андрей </w:t>
      </w:r>
      <w:proofErr w:type="gram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Рябушкин  .</w:t>
      </w:r>
      <w:proofErr w:type="gram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В графической серии «Русские былинные богатыри» художник </w:t>
      </w:r>
      <w:proofErr w:type="gram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представил</w:t>
      </w:r>
      <w:proofErr w:type="gram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как классические былинные образы, так и менее известных персонажей ―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Чурилу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Плёнковича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и Василия Буслаева. В 1895 году серия была издана книгой и стала уникальным образцом «социологии» богатырей. Рябушкин стремился придать каждому персонажу как можно больше индивидуальных черт: Садко деловито заложил руки за спину,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Вольга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Всеславьевич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притих в ожидании действий врага, Илья Муромец предстает слегка заторможенным силачом. Отсюда и стилистический разнобой серии: Святогор напоминает картины бельгийского символиста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Фернана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Кнопфа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, а Владимир Красное Солнышко с женой ―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фаюмские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</w:t>
      </w:r>
      <w:proofErr w:type="gram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портреты  .</w:t>
      </w:r>
      <w:proofErr w:type="gram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 Но в целом, говоря современным языком, русский эпос в интерпретации Рябушкина предстает русским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фэнтези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, где есть и богатырь-гном Микула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Селянинович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, и богатырь-эльф Алеша Попович, и царящий над миром маг Святогор.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proofErr w:type="spellStart"/>
      <w:r w:rsidRPr="001B1F7C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Previous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7F491D8A" wp14:editId="602A67E3">
            <wp:extent cx="1266825" cy="1512627"/>
            <wp:effectExtent l="0" t="0" r="0" b="0"/>
            <wp:docPr id="56" name="Рисунок 56" descr="https://cdn-s-static.arzamas.academy/storage/picture/1040/gallery_picture-13b47298-8e63-4058-9389-c0bdebc6f7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cdn-s-static.arzamas.academy/storage/picture/1040/gallery_picture-13b47298-8e63-4058-9389-c0bdebc6f7ce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322" cy="1517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6F5F8897" wp14:editId="3F07EB16">
            <wp:extent cx="1371600" cy="1645920"/>
            <wp:effectExtent l="0" t="0" r="0" b="0"/>
            <wp:docPr id="57" name="Рисунок 57" descr="https://cdn-s-static.arzamas.academy/storage/picture/1042/gallery_picture-1a68242c-2958-4554-8664-2acb0b42438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s://cdn-s-static.arzamas.academy/storage/picture/1042/gallery_picture-1a68242c-2958-4554-8664-2acb0b42438d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4ACF39AD" wp14:editId="0AE4898E">
            <wp:extent cx="1366242" cy="1619250"/>
            <wp:effectExtent l="0" t="0" r="5715" b="0"/>
            <wp:docPr id="58" name="Рисунок 58" descr="https://cdn-s-static.arzamas.academy/storage/picture/1043/gallery_picture-34b6089c-657b-4976-a388-5d327fdb86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s://cdn-s-static.arzamas.academy/storage/picture/1043/gallery_picture-34b6089c-657b-4976-a388-5d327fdb86cc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967" cy="1628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099064E6" wp14:editId="037B8B9F">
            <wp:extent cx="1392535" cy="1666875"/>
            <wp:effectExtent l="0" t="0" r="0" b="0"/>
            <wp:docPr id="59" name="Рисунок 59" descr="https://cdn-s-static.arzamas.academy/storage/picture/1044/gallery_picture-b7dc1caa-f963-4080-b4bf-bed356c838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cdn-s-static.arzamas.academy/storage/picture/1044/gallery_picture-b7dc1caa-f963-4080-b4bf-bed356c8383f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483" cy="16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086B6D75" wp14:editId="0483A040">
            <wp:extent cx="1490464" cy="1762125"/>
            <wp:effectExtent l="0" t="0" r="0" b="0"/>
            <wp:docPr id="60" name="Рисунок 60" descr="https://cdn-s-static.arzamas.academy/storage/picture/1045/gallery_picture-bf608835-ca24-4ab5-a9ea-3c96bbabc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s://cdn-s-static.arzamas.academy/storage/picture/1045/gallery_picture-bf608835-ca24-4ab5-a9ea-3c96bbabc30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602" cy="1765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208198D3" wp14:editId="26D09239">
            <wp:extent cx="1504950" cy="1828799"/>
            <wp:effectExtent l="0" t="0" r="0" b="635"/>
            <wp:docPr id="61" name="Рисунок 61" descr="https://cdn-s-static.arzamas.academy/storage/picture/1046/gallery_picture-fb968f68-186d-478f-a6ba-d0ab4f70cc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s://cdn-s-static.arzamas.academy/storage/picture/1046/gallery_picture-fb968f68-186d-478f-a6ba-d0ab4f70cc7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267" cy="1840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Если бы не «Богатыри» Васнецова, мир мог бы потерять художника Ивана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Билибина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. В конце 1890-х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Билибин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параллельно занимался живописью и учился на юриста, но после того, как увидел картину на первой персональной выставке Васнецова, решительно уехал в деревню и принялся изучать русскую древность. Богатыри в интерпретации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Билибина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бывали очень разными. Художник иллюстрировал былины наряду со сказками, и поэтому, например, его иллюстрации к «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Вольге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» 1903 года выполнены в жизнерадостной стилистике </w:t>
      </w: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lastRenderedPageBreak/>
        <w:t xml:space="preserve">детских книг с картинками, хотя в них явно прослеживается влияние палехской миниатюры. При этом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Билибин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мог стилизовать лубок, как на плакате «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Пречудный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богатырь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Бова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Королевич» (1911), что, безусловно, оправданно: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Бова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Королевич известен в первую очередь как лубочный герой.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proofErr w:type="spellStart"/>
      <w:r w:rsidRPr="001B1F7C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Previous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2EDBA8B6" wp14:editId="60CC5A9F">
            <wp:extent cx="986909" cy="1543050"/>
            <wp:effectExtent l="0" t="0" r="3810" b="0"/>
            <wp:docPr id="62" name="Рисунок 62" descr="https://cdn-s-static.arzamas.academy/storage/picture/1038/gallery_picture-32e6ab12-f58f-4522-8de5-237b17723bd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s://cdn-s-static.arzamas.academy/storage/picture/1038/gallery_picture-32e6ab12-f58f-4522-8de5-237b17723bdb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518" cy="1545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  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7C750145" wp14:editId="2FBEB013">
            <wp:extent cx="1028700" cy="1282535"/>
            <wp:effectExtent l="0" t="0" r="0" b="0"/>
            <wp:docPr id="63" name="Рисунок 63" descr="https://cdn-s-static.arzamas.academy/storage/picture/1039/gallery_picture-bd94282f-4ad3-4066-a3ba-5c7c904e2b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s://cdn-s-static.arzamas.academy/storage/picture/1039/gallery_picture-bd94282f-4ad3-4066-a3ba-5c7c904e2b45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992" cy="1289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1 / 2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Пречудный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 богатырь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Бова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 Королевич. Иллюстрация Ивана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Билибина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. 1911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2 / 2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Храбрый и славный и могучий витязь богатырь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Бова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 Королевич. Лубочный лист из собрания Дмитрия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Ровинского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. 1881 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©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The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New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York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Public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Library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Самой же оригинальной остается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билибинская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серия «Богатыри» 1902 года, где лубочные элементы соединяются с визуальным языком французских плакатов в духе ар-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нуво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. Главная отличительная черта богатырей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Билибина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― минимум идеологии. 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proofErr w:type="spellStart"/>
      <w:r w:rsidRPr="001B1F7C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Previous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3BAF8A3C" wp14:editId="29908CC5">
            <wp:extent cx="783431" cy="1600200"/>
            <wp:effectExtent l="0" t="0" r="0" b="0"/>
            <wp:docPr id="64" name="Рисунок 64" descr="https://cdn-s-static.arzamas.academy/storage/picture/1057/gallery_picture-4127a401-9b40-4ca6-bec8-45396aa8d4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s://cdn-s-static.arzamas.academy/storage/picture/1057/gallery_picture-4127a401-9b40-4ca6-bec8-45396aa8d4c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122" cy="1603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7AF863F8" wp14:editId="26202425">
            <wp:extent cx="853154" cy="1647825"/>
            <wp:effectExtent l="0" t="0" r="4445" b="0"/>
            <wp:docPr id="65" name="Рисунок 65" descr="https://cdn-s-static.arzamas.academy/storage/picture/1056/gallery_picture-49d5fe1d-d3fd-4092-9476-2715992cd6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s://cdn-s-static.arzamas.academy/storage/picture/1056/gallery_picture-49d5fe1d-d3fd-4092-9476-2715992cd68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163" cy="1655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1C8B4A31" wp14:editId="06695ABE">
            <wp:extent cx="1981200" cy="829628"/>
            <wp:effectExtent l="0" t="0" r="0" b="8890"/>
            <wp:docPr id="66" name="Рисунок 66" descr="https://cdn-s-static.arzamas.academy/storage/picture/1054/gallery_picture-913c153b-e812-4bb3-86e8-7921b27d8e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cdn-s-static.arzamas.academy/storage/picture/1054/gallery_picture-913c153b-e812-4bb3-86e8-7921b27d8e9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990390" cy="833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63910E44" wp14:editId="4EDD3F90">
            <wp:extent cx="2590800" cy="749763"/>
            <wp:effectExtent l="0" t="0" r="0" b="0"/>
            <wp:docPr id="67" name="Рисунок 67" descr="https://cdn-s-static.arzamas.academy/storage/picture/1055/gallery_picture-5e465121-e5a7-44c0-a376-c12342615a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https://cdn-s-static.arzamas.academy/storage/picture/1055/gallery_picture-5e465121-e5a7-44c0-a376-c12342615a37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2656263" cy="768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5F9BF2FD" wp14:editId="52105598">
            <wp:extent cx="1981200" cy="804863"/>
            <wp:effectExtent l="0" t="0" r="0" b="0"/>
            <wp:docPr id="68" name="Рисунок 68" descr="https://cdn-s-static.arzamas.academy/storage/picture/1053/gallery_picture-8fd36323-28c8-4fe4-aa3e-387996a0be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cdn-s-static.arzamas.academy/storage/picture/1053/gallery_picture-8fd36323-28c8-4fe4-aa3e-387996a0be95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993618" cy="80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t xml:space="preserve"> </w:t>
      </w: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4DE62A42" wp14:editId="11F017F2">
            <wp:extent cx="2009775" cy="1196444"/>
            <wp:effectExtent l="0" t="0" r="0" b="3810"/>
            <wp:docPr id="69" name="Рисунок 69" descr="https://cdn-s-static.arzamas.academy/storage/picture/1052/gallery_picture-94b12f35-37eb-4e3b-b46e-0498e611aa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s://cdn-s-static.arzamas.academy/storage/picture/1052/gallery_picture-94b12f35-37eb-4e3b-b46e-0498e611aa7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142" cy="1199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lastRenderedPageBreak/>
        <w:drawing>
          <wp:inline distT="0" distB="0" distL="0" distR="0" wp14:anchorId="4AF45EE4" wp14:editId="62F4910D">
            <wp:extent cx="1990725" cy="1203767"/>
            <wp:effectExtent l="0" t="0" r="0" b="0"/>
            <wp:docPr id="70" name="Рисунок 70" descr="https://cdn-s-static.arzamas.academy/storage/picture/1051/gallery_picture-01d08b99-c9aa-47ee-964a-934b6a998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cdn-s-static.arzamas.academy/storage/picture/1051/gallery_picture-01d08b99-c9aa-47ee-964a-934b6a998395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258" cy="1207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1F7C" w:rsidRPr="001B1F7C" w:rsidRDefault="001B1F7C" w:rsidP="001B1F7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1 / 7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Баян. Панно из серии «Богатырский фриз» Николая Рериха. 1910 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© gallery.facets.ru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2 / 7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Витязь. Панно из серии «Богатырский фриз» Николая Рериха. 1910 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© gallery.facets.ru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3 / 7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Вольга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 Святославович. Панно из серии «Богатырский фриз» Николая Рериха. 1910 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© Русский музей: виртуальный филиал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4 / 7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Садко. Панно из серии «Богатырский фриз» Николая Рериха. 1910 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© gallery.facets.ru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5 / 7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 xml:space="preserve">Микула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Селянинович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. Панно из серии «Богатырский фриз» Николая Рериха. 1910 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© Русский музей: виртуальный филиал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6 / 7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Соловей-разбойник. Панно из серии «Богатырский фриз» Николая Рериха. 1910 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© Русский музей: виртуальный филиал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0"/>
          <w:szCs w:val="20"/>
          <w:lang w:eastAsia="ru-RU"/>
        </w:rPr>
        <w:t>7 / 7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999999"/>
          <w:sz w:val="20"/>
          <w:szCs w:val="20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0"/>
          <w:szCs w:val="20"/>
          <w:lang w:eastAsia="ru-RU"/>
        </w:rPr>
        <w:t>Илья Муромец. Панно из серии «Богатырский фриз» Николая Рериха. 1910 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0"/>
          <w:szCs w:val="20"/>
          <w:lang w:eastAsia="ru-RU"/>
        </w:rPr>
        <w:t>© Русский музей: виртуальный филиал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Противоположный подход был у Николая Рериха. Воспитанный, как и 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Билибин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, на Репине и Васнецове, Рерих считал, что в исследовании древнерусской истории нужно идти еще глубже.</w:t>
      </w:r>
      <w:r w:rsidRPr="001B1F7C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 </w:t>
      </w: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Ему было важно отметить, что богатыри не только силачи и патриоты, но и защитники христианской веры (</w:t>
      </w:r>
      <w:hyperlink r:id="rId40" w:tgtFrame="_blank" w:history="1">
        <w:r w:rsidRPr="001B1F7C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Илья Муромец даже причислен к лику святых</w:t>
        </w:r>
      </w:hyperlink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). Этот вопрос занимал художников и раньше, но в искусстве непосредственно не отражался. С Рерихом все поменялось. Сам Рерих поначалу не обожествлял богатырей, хотя с юности писал проникновенные былины о возрождении святой Руси. Так, в 1909–1910 годах он участвовал в оформлении особняка промышленника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Филадельфа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Бажанова и выполнил для столовой серию «Богатырский фриз», состоящую из восьми панно. Здесь на первом плане — все еще декоративная составляющая, как у 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Билибина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. И представленные в панно сюжеты выглядят достаточно традиционно, хотя Микула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Селянинович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почему-то вспахивает гору, а лицо богатыря в панно «Витязь» очень напоминает икону. Кстати, в том же доме Баженова есть майоликовый камин «Микула и 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Вольга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», выполненный по эскизу Врубеля.</w:t>
      </w:r>
    </w:p>
    <w:p w:rsidR="001B1F7C" w:rsidRPr="001B1F7C" w:rsidRDefault="001B1F7C" w:rsidP="001B1F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1F7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BE924D3" wp14:editId="0083B1F0">
            <wp:extent cx="1727200" cy="1574954"/>
            <wp:effectExtent l="0" t="0" r="6350" b="6350"/>
            <wp:docPr id="71" name="Рисунок 71" descr="https://cdn-s-static.arzamas.academy/uploads/ckeditor/pictures/2171/content_kam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cdn-s-static.arzamas.academy/uploads/ckeditor/pictures/2171/content_kamin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065" cy="1583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1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Микула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Селянинович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Вольга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Всеславьевич</w:t>
      </w:r>
      <w:proofErr w:type="spellEnd"/>
      <w:r w:rsidRPr="001B1F7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Камин по эскизу Михаила Врубеля. 1899 год</w:t>
      </w:r>
      <w:r w:rsidRPr="001B1F7C">
        <w:rPr>
          <w:rFonts w:ascii="Times New Roman" w:eastAsia="Times New Roman" w:hAnsi="Times New Roman" w:cs="Times New Roman"/>
          <w:i/>
          <w:iCs/>
          <w:color w:val="999999"/>
          <w:sz w:val="24"/>
          <w:szCs w:val="24"/>
          <w:lang w:eastAsia="ru-RU"/>
        </w:rPr>
        <w:t>© Игорь Кленовый / 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4"/>
          <w:szCs w:val="24"/>
          <w:lang w:eastAsia="ru-RU"/>
        </w:rPr>
        <w:t>Wikimedia</w:t>
      </w:r>
      <w:proofErr w:type="spellEnd"/>
      <w:r w:rsidRPr="001B1F7C">
        <w:rPr>
          <w:rFonts w:ascii="Times New Roman" w:eastAsia="Times New Roman" w:hAnsi="Times New Roman" w:cs="Times New Roman"/>
          <w:i/>
          <w:iCs/>
          <w:color w:val="999999"/>
          <w:sz w:val="24"/>
          <w:szCs w:val="24"/>
          <w:lang w:eastAsia="ru-RU"/>
        </w:rPr>
        <w:t xml:space="preserve"> </w:t>
      </w:r>
      <w:proofErr w:type="spellStart"/>
      <w:r w:rsidRPr="001B1F7C">
        <w:rPr>
          <w:rFonts w:ascii="Times New Roman" w:eastAsia="Times New Roman" w:hAnsi="Times New Roman" w:cs="Times New Roman"/>
          <w:i/>
          <w:iCs/>
          <w:color w:val="999999"/>
          <w:sz w:val="24"/>
          <w:szCs w:val="24"/>
          <w:lang w:eastAsia="ru-RU"/>
        </w:rPr>
        <w:t>Commons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Но чем дальше Рерих углубляется </w:t>
      </w:r>
      <w:proofErr w:type="gram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в эзотерику</w:t>
      </w:r>
      <w:proofErr w:type="gram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, тем меньше его богатыри похожи на то, что делали предшественники. Ближе ко Второй мировой он снова увлекается былинными героями. Так появляются, к примеру, восточный мудрец Святогор в рассветных Гималаях и азиатская валькирия Настасья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Микулична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. Новые </w:t>
      </w: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lastRenderedPageBreak/>
        <w:t>богатыри Рериха не просто древние защитники традиционных русских ценностей. Они существуют вне времени и ждут своего часа, чтобы восстать и продемонстрировать остальному миру святорусскую мощь. И за Рерихом эту тему подхватит советский художник Константин Васильев и другие поборники мистического русского возрождения во второй половине XX века. Кульминацией богатырской эзотерики Рериха можно назвать картину «Богатыри проснулись» 1940 года. И никто не объяснит, зачем в русской живописи появились богатыри, лучше, чем Рерих сделал это в статье «Великому народу русскому»: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«„Богатыри проснулись“ сейчас пишется. Посвящается великому народу русскому. Когда-то слагали былину „Как перевелись богатыри на Руси“, но тогда же верили, что проснутся они в час сужденный. Выйдут из гор, из пещер и приложатся к строительству народному. Вот и пришел час. Вот народные богатыри город строят.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Илья Муромец встал. Добрыня побывал в Галиче. Микула зачал новую пашню. А Настасья </w:t>
      </w:r>
      <w:proofErr w:type="spellStart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>Микулична</w:t>
      </w:r>
      <w:proofErr w:type="spellEnd"/>
      <w:r w:rsidRPr="001B1F7C">
        <w:rPr>
          <w:rFonts w:ascii="Times New Roman" w:eastAsia="Times New Roman" w:hAnsi="Times New Roman" w:cs="Times New Roman"/>
          <w:color w:val="4C4C4C"/>
          <w:sz w:val="26"/>
          <w:szCs w:val="26"/>
          <w:lang w:eastAsia="ru-RU"/>
        </w:rPr>
        <w:t xml:space="preserve"> многих перегнала. По поднебесью летает на страх злым. А зависти-то сколько за морями! За морями — земли великие. Только нам недосуг до них. Свою целину не объехать, свою скрыню не убрать».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4C4C4C"/>
          <w:sz w:val="26"/>
          <w:szCs w:val="26"/>
          <w:lang w:eastAsia="ru-RU"/>
        </w:rPr>
      </w:pPr>
      <w:r w:rsidRPr="001B1F7C">
        <w:rPr>
          <w:rFonts w:ascii="Times New Roman" w:eastAsia="Times New Roman" w:hAnsi="Times New Roman" w:cs="Times New Roman"/>
          <w:b/>
          <w:bCs/>
          <w:color w:val="4C4C4C"/>
          <w:sz w:val="26"/>
          <w:szCs w:val="26"/>
          <w:lang w:eastAsia="ru-RU"/>
        </w:rPr>
        <w:t>Николай Рерих.</w:t>
      </w:r>
      <w:r w:rsidRPr="001B1F7C">
        <w:rPr>
          <w:rFonts w:ascii="Times New Roman" w:eastAsia="Times New Roman" w:hAnsi="Times New Roman" w:cs="Times New Roman"/>
          <w:i/>
          <w:iCs/>
          <w:color w:val="4C4C4C"/>
          <w:sz w:val="26"/>
          <w:szCs w:val="26"/>
          <w:lang w:eastAsia="ru-RU"/>
        </w:rPr>
        <w:t> Статья «Великому народу русскому», 24 июня 1940 года  </w:t>
      </w:r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proofErr w:type="spellStart"/>
      <w:r w:rsidRPr="001B1F7C">
        <w:rPr>
          <w:rFonts w:ascii="Arial" w:eastAsia="Times New Roman" w:hAnsi="Arial" w:cs="Arial"/>
          <w:color w:val="4C4C4C"/>
          <w:sz w:val="23"/>
          <w:szCs w:val="23"/>
          <w:lang w:eastAsia="ru-RU"/>
        </w:rPr>
        <w:t>Previous</w:t>
      </w:r>
      <w:proofErr w:type="spellEnd"/>
    </w:p>
    <w:p w:rsidR="001B1F7C" w:rsidRPr="001B1F7C" w:rsidRDefault="001B1F7C" w:rsidP="001B1F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C4C4C"/>
          <w:sz w:val="23"/>
          <w:szCs w:val="23"/>
          <w:lang w:eastAsia="ru-RU"/>
        </w:rPr>
      </w:pPr>
      <w:r w:rsidRPr="001B1F7C">
        <w:rPr>
          <w:rFonts w:ascii="Arial" w:eastAsia="Times New Roman" w:hAnsi="Arial" w:cs="Arial"/>
          <w:noProof/>
          <w:color w:val="4C4C4C"/>
          <w:sz w:val="23"/>
          <w:szCs w:val="23"/>
          <w:lang w:eastAsia="ru-RU"/>
        </w:rPr>
        <w:drawing>
          <wp:inline distT="0" distB="0" distL="0" distR="0" wp14:anchorId="5A367DE1" wp14:editId="48BD7299">
            <wp:extent cx="1216175" cy="1619250"/>
            <wp:effectExtent l="0" t="0" r="3175" b="0"/>
            <wp:docPr id="72" name="Рисунок 72" descr="https://cdn-s-static.arzamas.academy/storage/picture/1058/gallery_picture-ad3547e0-7cd2-426b-93e0-9a2cc2226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cdn-s-static.arzamas.academy/storage/picture/1058/gallery_picture-ad3547e0-7cd2-426b-93e0-9a2cc2226388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581" cy="1623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466" w:rsidRDefault="00057466" w:rsidP="001B1F7C">
      <w:pPr>
        <w:spacing w:after="0" w:line="240" w:lineRule="auto"/>
      </w:pPr>
    </w:p>
    <w:sectPr w:rsidR="00057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E0F"/>
    <w:rsid w:val="00016E0F"/>
    <w:rsid w:val="00057466"/>
    <w:rsid w:val="001B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99792"/>
  <w15:chartTrackingRefBased/>
  <w15:docId w15:val="{E9751C9D-DF6F-49A3-B07E-3BA90403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8497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52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2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581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706682">
                  <w:marLeft w:val="0"/>
                  <w:marRight w:val="0"/>
                  <w:marTop w:val="0"/>
                  <w:marBottom w:val="0"/>
                  <w:divBdr>
                    <w:top w:val="single" w:sz="6" w:space="19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58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40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26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34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685516">
                                      <w:marLeft w:val="0"/>
                                      <w:marRight w:val="0"/>
                                      <w:marTop w:val="90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0690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175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219741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1720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719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454091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07994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BEBEB"/>
                    <w:right w:val="none" w:sz="0" w:space="0" w:color="auto"/>
                  </w:divBdr>
                  <w:divsChild>
                    <w:div w:id="3589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505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653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24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42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75321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08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931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06839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681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760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8752990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16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658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977996">
                  <w:marLeft w:val="0"/>
                  <w:marRight w:val="0"/>
                  <w:marTop w:val="0"/>
                  <w:marBottom w:val="0"/>
                  <w:divBdr>
                    <w:top w:val="single" w:sz="6" w:space="19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178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2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971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150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093970">
                                      <w:marLeft w:val="0"/>
                                      <w:marRight w:val="0"/>
                                      <w:marTop w:val="383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9055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00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7672115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04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BEBEB"/>
                    <w:right w:val="none" w:sz="0" w:space="0" w:color="auto"/>
                  </w:divBdr>
                  <w:divsChild>
                    <w:div w:id="9549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68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6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58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777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3262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0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376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9735204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67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7013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85714">
                  <w:marLeft w:val="0"/>
                  <w:marRight w:val="0"/>
                  <w:marTop w:val="0"/>
                  <w:marBottom w:val="0"/>
                  <w:divBdr>
                    <w:top w:val="single" w:sz="6" w:space="19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44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863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828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348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452507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31358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360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337796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683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433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270798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924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BEBEB"/>
                    <w:right w:val="none" w:sz="0" w:space="0" w:color="auto"/>
                  </w:divBdr>
                  <w:divsChild>
                    <w:div w:id="69450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39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60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722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684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3183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031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022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8431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814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59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448683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8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6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886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762285">
                  <w:marLeft w:val="0"/>
                  <w:marRight w:val="0"/>
                  <w:marTop w:val="0"/>
                  <w:marBottom w:val="0"/>
                  <w:divBdr>
                    <w:top w:val="single" w:sz="6" w:space="19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36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76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261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465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178388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3916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380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608421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2384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632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77417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5261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212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508744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7932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03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347741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9589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91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503770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7297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246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013985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9195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475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180953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7293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79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684624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255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760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996713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0484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BEBEB"/>
                    <w:right w:val="none" w:sz="0" w:space="0" w:color="auto"/>
                  </w:divBdr>
                  <w:divsChild>
                    <w:div w:id="428504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42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237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672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573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545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972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73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041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50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567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41587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88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710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28077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35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763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1096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8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319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9788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262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67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452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4384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683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099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883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785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6101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802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13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9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674816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942175">
                  <w:marLeft w:val="0"/>
                  <w:marRight w:val="0"/>
                  <w:marTop w:val="0"/>
                  <w:marBottom w:val="0"/>
                  <w:divBdr>
                    <w:top w:val="single" w:sz="6" w:space="19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88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930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63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009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052950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285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433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404270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42124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70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009490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2723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6916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1283796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5011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90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882839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2560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3928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673003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8989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BEBEB"/>
                    <w:right w:val="none" w:sz="0" w:space="0" w:color="auto"/>
                  </w:divBdr>
                  <w:divsChild>
                    <w:div w:id="106267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52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10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4808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20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673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869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823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15257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815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476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797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537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63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34589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26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64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0534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197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64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63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5608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48055">
                  <w:marLeft w:val="0"/>
                  <w:marRight w:val="0"/>
                  <w:marTop w:val="0"/>
                  <w:marBottom w:val="0"/>
                  <w:divBdr>
                    <w:top w:val="single" w:sz="6" w:space="19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632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64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0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93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465895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911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13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38879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0490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BEBEB"/>
                    <w:right w:val="none" w:sz="0" w:space="0" w:color="auto"/>
                  </w:divBdr>
                  <w:divsChild>
                    <w:div w:id="12877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4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260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8421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0238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6177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5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551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11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72849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164440">
                  <w:marLeft w:val="0"/>
                  <w:marRight w:val="0"/>
                  <w:marTop w:val="0"/>
                  <w:marBottom w:val="0"/>
                  <w:divBdr>
                    <w:top w:val="single" w:sz="6" w:space="19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1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302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664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590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982020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385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984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512150">
                                      <w:marLeft w:val="0"/>
                                      <w:marRight w:val="0"/>
                                      <w:marTop w:val="4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475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9597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467817">
                                      <w:marLeft w:val="0"/>
                                      <w:marRight w:val="0"/>
                                      <w:marTop w:val="162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134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20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5454483">
                                      <w:marLeft w:val="0"/>
                                      <w:marRight w:val="0"/>
                                      <w:marTop w:val="220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7272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617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46283">
                                      <w:marLeft w:val="0"/>
                                      <w:marRight w:val="0"/>
                                      <w:marTop w:val="168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54294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94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727747">
                                      <w:marLeft w:val="0"/>
                                      <w:marRight w:val="0"/>
                                      <w:marTop w:val="78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132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869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194248">
                                      <w:marLeft w:val="0"/>
                                      <w:marRight w:val="0"/>
                                      <w:marTop w:val="73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9205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BEBEB"/>
                    <w:right w:val="none" w:sz="0" w:space="0" w:color="auto"/>
                  </w:divBdr>
                  <w:divsChild>
                    <w:div w:id="1149974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289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71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624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720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37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09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820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886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753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972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90830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81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678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4308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01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306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7944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807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548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31031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29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119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8964746">
          <w:blockQuote w:val="1"/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0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5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04295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07">
                  <w:marLeft w:val="0"/>
                  <w:marRight w:val="0"/>
                  <w:marTop w:val="0"/>
                  <w:marBottom w:val="0"/>
                  <w:divBdr>
                    <w:top w:val="single" w:sz="6" w:space="19" w:color="EBEBEB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98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12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249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594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1564355">
                                      <w:marLeft w:val="0"/>
                                      <w:marRight w:val="0"/>
                                      <w:marTop w:val="38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6.jpeg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41" Type="http://schemas.openxmlformats.org/officeDocument/2006/relationships/image" Target="media/image3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hyperlink" Target="https://arzamas.academy/episodes/108" TargetMode="External"/><Relationship Id="rId5" Type="http://schemas.openxmlformats.org/officeDocument/2006/relationships/hyperlink" Target="https://arzamas.academy/materials/212" TargetMode="Externa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arzamas.academy/materials/237" TargetMode="External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fontTable" Target="fontTable.xml"/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2093</Words>
  <Characters>11932</Characters>
  <Application>Microsoft Office Word</Application>
  <DocSecurity>0</DocSecurity>
  <Lines>99</Lines>
  <Paragraphs>27</Paragraphs>
  <ScaleCrop>false</ScaleCrop>
  <Company/>
  <LinksUpToDate>false</LinksUpToDate>
  <CharactersWithSpaces>13998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Хозяйка</dc:creator>
  <cp:keywords/>
  <dc:description/>
  <cp:lastModifiedBy>Хозяйка</cp:lastModifiedBy>
  <cp:revision>2</cp:revision>
  <dcterms:created xsi:type="dcterms:W3CDTF">2025-02-03T01:35:00Z</dcterms:created>
  <dcterms:modified xsi:type="dcterms:W3CDTF">2025-02-03T01:49:00Z</dcterms:modified>
</cp:coreProperties>
</file>